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029" w:rsidRDefault="00EF6029" w:rsidP="001723BF">
      <w:pPr>
        <w:spacing w:before="120" w:after="0" w:line="240" w:lineRule="auto"/>
        <w:rPr>
          <w:rFonts w:ascii="Times New Roman" w:hAnsi="Times New Roman"/>
          <w:sz w:val="24"/>
          <w:szCs w:val="24"/>
        </w:rPr>
      </w:pPr>
    </w:p>
    <w:p w:rsidR="00EF6029" w:rsidRDefault="00EF6029" w:rsidP="001723BF">
      <w:pPr>
        <w:spacing w:before="120" w:after="0" w:line="240" w:lineRule="auto"/>
        <w:rPr>
          <w:rFonts w:ascii="Times New Roman" w:hAnsi="Times New Roman"/>
          <w:sz w:val="24"/>
          <w:szCs w:val="24"/>
        </w:rPr>
      </w:pPr>
    </w:p>
    <w:p w:rsidR="00EF6029" w:rsidRPr="001723BF" w:rsidRDefault="00EF6029" w:rsidP="001723BF">
      <w:pPr>
        <w:spacing w:before="120" w:after="0" w:line="240" w:lineRule="auto"/>
        <w:rPr>
          <w:rFonts w:ascii="Times New Roman" w:hAnsi="Times New Roman"/>
          <w:sz w:val="24"/>
          <w:szCs w:val="24"/>
        </w:rPr>
      </w:pPr>
    </w:p>
    <w:p w:rsidR="00EF6029" w:rsidRPr="00651A94" w:rsidRDefault="00EF6029" w:rsidP="00015E0A">
      <w:pPr>
        <w:spacing w:before="120" w:after="0" w:line="480" w:lineRule="auto"/>
        <w:jc w:val="center"/>
        <w:rPr>
          <w:rFonts w:ascii="Times New Roman" w:hAnsi="Times New Roman"/>
          <w:b/>
          <w:sz w:val="24"/>
          <w:szCs w:val="24"/>
        </w:rPr>
      </w:pPr>
      <w:r w:rsidRPr="00015E0A">
        <w:rPr>
          <w:rFonts w:ascii="Times New Roman" w:hAnsi="Times New Roman"/>
          <w:b/>
          <w:sz w:val="28"/>
          <w:szCs w:val="24"/>
        </w:rPr>
        <w:t>Unions and the Fairness at Work Agenda:</w:t>
      </w:r>
      <w:r w:rsidRPr="00015E0A">
        <w:rPr>
          <w:rFonts w:ascii="Times New Roman" w:hAnsi="Times New Roman"/>
          <w:b/>
          <w:sz w:val="28"/>
          <w:szCs w:val="24"/>
        </w:rPr>
        <w:br/>
        <w:t>Reflections on the Workplace Issues</w:t>
      </w:r>
    </w:p>
    <w:p w:rsidR="00EF6029" w:rsidRDefault="00EF6029">
      <w:pPr>
        <w:rPr>
          <w:rFonts w:ascii="Times New Roman" w:hAnsi="Times New Roman"/>
          <w:sz w:val="24"/>
          <w:szCs w:val="24"/>
        </w:rPr>
      </w:pPr>
    </w:p>
    <w:p w:rsidR="00EF6029" w:rsidRDefault="00EF6029">
      <w:pPr>
        <w:rPr>
          <w:rFonts w:ascii="Times New Roman" w:hAnsi="Times New Roman"/>
          <w:sz w:val="24"/>
          <w:szCs w:val="24"/>
        </w:rPr>
      </w:pPr>
    </w:p>
    <w:p w:rsidR="00EF6029" w:rsidRPr="00015E0A" w:rsidRDefault="00EF6029" w:rsidP="00015E0A">
      <w:pPr>
        <w:jc w:val="center"/>
        <w:rPr>
          <w:rFonts w:ascii="Times New Roman" w:hAnsi="Times New Roman"/>
          <w:sz w:val="24"/>
          <w:szCs w:val="24"/>
        </w:rPr>
      </w:pPr>
      <w:r>
        <w:rPr>
          <w:rFonts w:ascii="Times New Roman" w:hAnsi="Times New Roman"/>
          <w:b/>
          <w:sz w:val="24"/>
          <w:szCs w:val="24"/>
        </w:rPr>
        <w:t>Paul Edwards</w:t>
      </w:r>
      <w:r>
        <w:rPr>
          <w:rFonts w:ascii="Times New Roman" w:hAnsi="Times New Roman"/>
          <w:b/>
          <w:sz w:val="24"/>
          <w:szCs w:val="24"/>
        </w:rPr>
        <w:br/>
        <w:t>Department of Management</w:t>
      </w:r>
      <w:r>
        <w:rPr>
          <w:rFonts w:ascii="Times New Roman" w:hAnsi="Times New Roman"/>
          <w:b/>
          <w:sz w:val="24"/>
          <w:szCs w:val="24"/>
        </w:rPr>
        <w:br/>
        <w:t>University of Birmingham</w:t>
      </w:r>
      <w:r>
        <w:rPr>
          <w:rFonts w:ascii="Times New Roman" w:hAnsi="Times New Roman"/>
          <w:b/>
          <w:sz w:val="24"/>
          <w:szCs w:val="24"/>
        </w:rPr>
        <w:br/>
      </w:r>
      <w:r>
        <w:rPr>
          <w:rFonts w:ascii="Times New Roman" w:hAnsi="Times New Roman"/>
          <w:sz w:val="24"/>
          <w:szCs w:val="24"/>
        </w:rPr>
        <w:t>P.K.Edwards@Bham.ac.uk</w:t>
      </w:r>
    </w:p>
    <w:p w:rsidR="00EF6029" w:rsidRDefault="00EF6029">
      <w:pPr>
        <w:rPr>
          <w:rFonts w:ascii="Times New Roman" w:hAnsi="Times New Roman"/>
          <w:sz w:val="24"/>
          <w:szCs w:val="24"/>
        </w:rPr>
      </w:pPr>
    </w:p>
    <w:p w:rsidR="00EF6029" w:rsidRDefault="00EF6029">
      <w:pPr>
        <w:rPr>
          <w:rFonts w:ascii="Times New Roman" w:hAnsi="Times New Roman"/>
          <w:sz w:val="24"/>
          <w:szCs w:val="24"/>
        </w:rPr>
      </w:pPr>
    </w:p>
    <w:p w:rsidR="00EF6029" w:rsidRPr="00015E0A" w:rsidRDefault="00EF6029" w:rsidP="00015E0A">
      <w:pPr>
        <w:jc w:val="center"/>
        <w:rPr>
          <w:rFonts w:ascii="Times New Roman" w:hAnsi="Times New Roman"/>
          <w:sz w:val="24"/>
          <w:szCs w:val="24"/>
        </w:rPr>
      </w:pPr>
      <w:r>
        <w:rPr>
          <w:rFonts w:ascii="Times New Roman" w:hAnsi="Times New Roman"/>
          <w:sz w:val="24"/>
          <w:szCs w:val="24"/>
        </w:rPr>
        <w:t>For Unions 21 ‘Organizing for Fair Work’ Event,</w:t>
      </w:r>
      <w:r>
        <w:rPr>
          <w:rFonts w:ascii="Times New Roman" w:hAnsi="Times New Roman"/>
          <w:sz w:val="24"/>
          <w:szCs w:val="24"/>
        </w:rPr>
        <w:br/>
        <w:t>2 July 2013,</w:t>
      </w:r>
      <w:r>
        <w:rPr>
          <w:rFonts w:ascii="Times New Roman" w:hAnsi="Times New Roman"/>
          <w:sz w:val="24"/>
          <w:szCs w:val="24"/>
        </w:rPr>
        <w:br/>
        <w:t>Jersey</w:t>
      </w:r>
    </w:p>
    <w:p w:rsidR="00EF6029" w:rsidRDefault="00EF6029">
      <w:pPr>
        <w:rPr>
          <w:rFonts w:ascii="Times New Roman" w:hAnsi="Times New Roman"/>
          <w:sz w:val="24"/>
          <w:szCs w:val="24"/>
        </w:rPr>
      </w:pPr>
      <w:r>
        <w:rPr>
          <w:rFonts w:ascii="Times New Roman" w:hAnsi="Times New Roman"/>
          <w:sz w:val="24"/>
          <w:szCs w:val="24"/>
        </w:rPr>
        <w:br w:type="page"/>
      </w:r>
    </w:p>
    <w:p w:rsidR="00EF6029" w:rsidRDefault="00EF6029" w:rsidP="001723BF">
      <w:pPr>
        <w:spacing w:before="120" w:after="0" w:line="240" w:lineRule="auto"/>
        <w:rPr>
          <w:rFonts w:ascii="Times New Roman" w:hAnsi="Times New Roman"/>
          <w:sz w:val="24"/>
          <w:szCs w:val="24"/>
        </w:rPr>
      </w:pPr>
    </w:p>
    <w:p w:rsidR="00EF6029" w:rsidRDefault="00EF6029" w:rsidP="009A2DA3">
      <w:pPr>
        <w:spacing w:before="120" w:after="0" w:line="360" w:lineRule="auto"/>
        <w:rPr>
          <w:rFonts w:ascii="Times New Roman" w:hAnsi="Times New Roman"/>
          <w:sz w:val="24"/>
          <w:szCs w:val="24"/>
        </w:rPr>
      </w:pPr>
      <w:r>
        <w:rPr>
          <w:rFonts w:ascii="Times New Roman" w:hAnsi="Times New Roman"/>
          <w:sz w:val="24"/>
          <w:szCs w:val="24"/>
        </w:rPr>
        <w:t xml:space="preserve">The purpose of this paper is to reflect briefly on the current situation of trade unions in the UK at the level of the workplace, and to identify some themes for the future. The period since 2008 has seen two strongly contrasting developments. </w:t>
      </w:r>
    </w:p>
    <w:p w:rsidR="00EF6029" w:rsidRDefault="00EF6029" w:rsidP="009A2DA3">
      <w:pPr>
        <w:spacing w:before="120" w:after="0" w:line="360" w:lineRule="auto"/>
        <w:rPr>
          <w:rFonts w:ascii="Times New Roman" w:hAnsi="Times New Roman"/>
          <w:sz w:val="24"/>
          <w:szCs w:val="24"/>
        </w:rPr>
      </w:pPr>
      <w:r>
        <w:rPr>
          <w:rFonts w:ascii="Times New Roman" w:hAnsi="Times New Roman"/>
          <w:sz w:val="24"/>
          <w:szCs w:val="24"/>
        </w:rPr>
        <w:t xml:space="preserve">The first is austerity and efforts to control public sector debt. In a context of job losses and wage restraint, trade unions have found it hard to maintain, let alone advance, their position. Some commentators place these recent developments in the context of long-term change in the labour market and the regulatory environment to suggest that the prospects for unions are bleak. </w:t>
      </w:r>
    </w:p>
    <w:p w:rsidR="00EF6029" w:rsidRDefault="00EF6029" w:rsidP="009A2DA3">
      <w:pPr>
        <w:spacing w:before="120" w:after="0" w:line="360" w:lineRule="auto"/>
        <w:rPr>
          <w:rFonts w:ascii="Times New Roman" w:hAnsi="Times New Roman"/>
          <w:sz w:val="24"/>
          <w:szCs w:val="24"/>
        </w:rPr>
      </w:pPr>
      <w:r>
        <w:rPr>
          <w:rFonts w:ascii="Times New Roman" w:hAnsi="Times New Roman"/>
          <w:sz w:val="24"/>
          <w:szCs w:val="24"/>
        </w:rPr>
        <w:t>The second development is marked by widespread concerns about inequality and the quality of jobs. Several publications have highlighted these concerns to suggest that unions, as bodies with a long history of promoting workers’ rights, could have a significant role to play in constructing a fairer society. The views of commentators such as Joseph Stiglitz are notable here. Stiglitz is a highly influential economist who has documented the failings so the American business model, in terms not only of the inequality that it generates but also its inefficiencies and lack of sustainability. He has come to include strengthening collective bargaining between unions and employers as part of the solution, an argument that many in the union movement have long made but that is notable coming from an economist without specific links to unions.</w:t>
      </w:r>
      <w:r>
        <w:rPr>
          <w:rStyle w:val="FootnoteReference"/>
          <w:rFonts w:ascii="Times New Roman" w:hAnsi="Times New Roman"/>
          <w:sz w:val="24"/>
          <w:szCs w:val="24"/>
        </w:rPr>
        <w:footnoteReference w:id="1"/>
      </w:r>
      <w:r>
        <w:rPr>
          <w:rFonts w:ascii="Times New Roman" w:hAnsi="Times New Roman"/>
          <w:sz w:val="24"/>
          <w:szCs w:val="24"/>
        </w:rPr>
        <w:t xml:space="preserve"> The argument, which stems from many different research projects, is that inequality is not the inevitable result of globalization but reflects the decay of institutions such as collective bargaining (see Rubery and Grimshaw, 2003, for a summary). </w:t>
      </w:r>
    </w:p>
    <w:p w:rsidR="00EF6029" w:rsidRDefault="00EF6029" w:rsidP="009A2DA3">
      <w:pPr>
        <w:spacing w:before="120" w:after="0" w:line="360" w:lineRule="auto"/>
        <w:rPr>
          <w:rFonts w:ascii="Times New Roman" w:hAnsi="Times New Roman"/>
          <w:sz w:val="24"/>
          <w:szCs w:val="24"/>
        </w:rPr>
      </w:pPr>
      <w:r>
        <w:rPr>
          <w:rFonts w:ascii="Times New Roman" w:hAnsi="Times New Roman"/>
          <w:sz w:val="24"/>
          <w:szCs w:val="24"/>
        </w:rPr>
        <w:t>Several other publications from Unions21 and other bodies make the case for extending the role of unions (Unions21, 2012 and 2013; Taylor, 2013). The potential role for unions in promoting fairness at work is not in serious dispute. We know that, when unions were more influential than they are now, they contributed to the governance of the workplace in various ways including providing ‘voice’ for workers with the result that forms of ‘exit’ that are costly to employers, such as absence and quitting, were lower than in non-union workplaces. We also know that unions are at least compatible with various ‘high performance’ practices, while some would argue that, to make these practices really effective, a union contribution is central. It is clear, moreover, that independent voice for workers has declined so that there is a gap that unions could fill (Brown et al., 2009; Colling, 2012).</w:t>
      </w:r>
    </w:p>
    <w:p w:rsidR="00EF6029" w:rsidRDefault="00EF6029" w:rsidP="009A2DA3">
      <w:pPr>
        <w:spacing w:before="120" w:after="0" w:line="360" w:lineRule="auto"/>
        <w:rPr>
          <w:rFonts w:ascii="Times New Roman" w:hAnsi="Times New Roman"/>
          <w:sz w:val="24"/>
          <w:szCs w:val="24"/>
        </w:rPr>
      </w:pPr>
      <w:r>
        <w:rPr>
          <w:rFonts w:ascii="Times New Roman" w:hAnsi="Times New Roman"/>
          <w:sz w:val="24"/>
          <w:szCs w:val="24"/>
        </w:rPr>
        <w:t>Linda Dickens draws together several strands of analysis in linking legal provision of employment rights with effective operation of these rights:</w:t>
      </w:r>
    </w:p>
    <w:p w:rsidR="00EF6029" w:rsidRDefault="00EF6029" w:rsidP="007057CD">
      <w:pPr>
        <w:spacing w:after="0" w:line="360" w:lineRule="auto"/>
        <w:ind w:left="720"/>
        <w:rPr>
          <w:rFonts w:ascii="Times New Roman" w:hAnsi="Times New Roman"/>
          <w:sz w:val="24"/>
          <w:szCs w:val="24"/>
        </w:rPr>
      </w:pPr>
      <w:r>
        <w:rPr>
          <w:rFonts w:ascii="Times New Roman" w:hAnsi="Times New Roman"/>
          <w:sz w:val="24"/>
          <w:szCs w:val="24"/>
        </w:rPr>
        <w:t>the state could harness the ability, knowledge and expertise of unions to enhance its own regulatory capacity  . . . [by writing unions in to] the enforcement or implementation of employment rights . . . The model [of health and safety representatives] of requiring employers to consult with elected representatives (union or non-union), to ensure they receive training and permit them paid time off to perform their functions could be adopted in other areas (Dickens, 2012b: 221).</w:t>
      </w:r>
    </w:p>
    <w:p w:rsidR="00EF6029" w:rsidRDefault="00EF6029" w:rsidP="009A2DA3">
      <w:pPr>
        <w:spacing w:before="120" w:after="0" w:line="360" w:lineRule="auto"/>
        <w:rPr>
          <w:rFonts w:ascii="Times New Roman" w:hAnsi="Times New Roman"/>
          <w:sz w:val="24"/>
          <w:szCs w:val="24"/>
        </w:rPr>
      </w:pPr>
      <w:r>
        <w:rPr>
          <w:rFonts w:ascii="Times New Roman" w:hAnsi="Times New Roman"/>
          <w:sz w:val="24"/>
          <w:szCs w:val="24"/>
        </w:rPr>
        <w:t xml:space="preserve">It is thus feasible to produce a picture of potential ‘demand’ for voice and representation that unions could meet. But this unfilled latent demand has been present for at least thirty years. I recall for example a union leader in the early 1990s arguing that unions could be valuable interlocutors for management – my memory may be faulty and I will not not give a name, but it was at an annual conference of the British Universities Industrial Relations Association. By this, he meant that many firms were then introducing formal performance appraisal schemes and that unions could play a useful role in ensuring that these operated as intended – or at least, I would say, as intended if managements genuinely saw them as means to manage performance more effectively, as opposed to being devices of surveillance and discipline. </w:t>
      </w:r>
    </w:p>
    <w:p w:rsidR="00EF6029" w:rsidRDefault="00EF6029" w:rsidP="009A2DA3">
      <w:pPr>
        <w:spacing w:before="120" w:after="0" w:line="360" w:lineRule="auto"/>
        <w:rPr>
          <w:rFonts w:ascii="Times New Roman" w:hAnsi="Times New Roman"/>
          <w:sz w:val="24"/>
          <w:szCs w:val="24"/>
        </w:rPr>
      </w:pPr>
      <w:r>
        <w:rPr>
          <w:rFonts w:ascii="Times New Roman" w:hAnsi="Times New Roman"/>
          <w:sz w:val="24"/>
          <w:szCs w:val="24"/>
        </w:rPr>
        <w:t xml:space="preserve">The problem is that there is very little evidence that these useful functions of unions are leading firms to unionize. The Workplace Employment Relations Survey of 2011 for example reports that 30 per cent of workplaces had some union membership, with only 21 per cent having a recognized union; the figure for the latter in the private sector was a mere 11 per cent (van Wanrooy et al., 2013). There was also no evidence that arrangements such as joint consultation committees were being used to provide a voice for workers: JCC coverage continued to be low, and it declined from 2004 (from 23 per cent of private sector workplaces in 2004 to 15 per cent in 2011). </w:t>
      </w:r>
    </w:p>
    <w:p w:rsidR="00EF6029" w:rsidRDefault="00EF6029" w:rsidP="009A2DA3">
      <w:pPr>
        <w:spacing w:before="120" w:after="0" w:line="360" w:lineRule="auto"/>
        <w:rPr>
          <w:rFonts w:ascii="Times New Roman" w:hAnsi="Times New Roman"/>
          <w:sz w:val="24"/>
          <w:szCs w:val="24"/>
        </w:rPr>
      </w:pPr>
      <w:r>
        <w:rPr>
          <w:rFonts w:ascii="Times New Roman" w:hAnsi="Times New Roman"/>
          <w:sz w:val="24"/>
          <w:szCs w:val="24"/>
        </w:rPr>
        <w:t xml:space="preserve">There are many well-rehearsed reasons for the difficulty of organizing. But many of these reasons are very hard to change. Is there anything that unions can do despite them, or will the good intentions about promoting fairness remain unrealized? </w:t>
      </w:r>
    </w:p>
    <w:p w:rsidR="00EF6029" w:rsidRDefault="00EF6029" w:rsidP="009A2DA3">
      <w:pPr>
        <w:spacing w:before="120" w:after="0" w:line="360" w:lineRule="auto"/>
        <w:rPr>
          <w:rFonts w:ascii="Times New Roman" w:hAnsi="Times New Roman"/>
          <w:sz w:val="24"/>
          <w:szCs w:val="24"/>
        </w:rPr>
      </w:pPr>
      <w:r>
        <w:rPr>
          <w:rFonts w:ascii="Times New Roman" w:hAnsi="Times New Roman"/>
          <w:sz w:val="24"/>
          <w:szCs w:val="24"/>
        </w:rPr>
        <w:t xml:space="preserve">My argument is that debate around what unions can deliver runs the danger of wishful thinking. Unions need to grasp the nettle of the ‘business case’ for what they can deliver, that is, what they can do to improve organizational functioning on terms which, crucially, are not wholly management’s but which managements can accept and work with. This may not be a popular argument, but we need to think about ways in which a contribution can be sold to sceptical managers and governments. </w:t>
      </w:r>
    </w:p>
    <w:p w:rsidR="00EF6029" w:rsidRDefault="00EF6029" w:rsidP="009A2DA3">
      <w:pPr>
        <w:autoSpaceDE w:val="0"/>
        <w:autoSpaceDN w:val="0"/>
        <w:adjustRightInd w:val="0"/>
        <w:spacing w:before="120" w:after="0" w:line="360" w:lineRule="auto"/>
        <w:rPr>
          <w:rFonts w:ascii="Times New Roman" w:hAnsi="Times New Roman"/>
          <w:sz w:val="24"/>
          <w:szCs w:val="24"/>
        </w:rPr>
      </w:pPr>
      <w:r>
        <w:rPr>
          <w:rFonts w:ascii="Times New Roman" w:hAnsi="Times New Roman"/>
          <w:sz w:val="24"/>
          <w:szCs w:val="24"/>
        </w:rPr>
        <w:t xml:space="preserve">I need to introduce a bit of theory (Edwards et al., 2006). Workers have two kinds of interests in relation to their jobs. The first relate to the immediate issues of wages and control of the production process. At any one time, these interests are opposed to those of managers. Most obviously, wage rises affect profits. As for ‘control’, I mean the ways in which such things as work loads and discipline are handled. If unions gain control of these matters, for example affecting the operation of a discipline procedure, managers lose some of their otherwise unqualified right to manage. But workers also have interests in the longer-term development of the firms for which they work: other things being equal, investment makes firms more likely to survive and thus to be able to provide jobs. I recall many years ago listening to a conversation between a union official and the owner-manager of a clothing factory. The official wanted to know why new machinery was not being introduced with a view to improving efficiency. He was expressing workers’ developmental concerns, and also questioning why the owner, who in principle shared these concerns, was not acting on them. Another favourite example is the work of inspectors appointed to police wage standards under the Trade Boards that were set up in 1909. A study in the 1930s found </w:t>
      </w:r>
      <w:r w:rsidRPr="00A56A00">
        <w:rPr>
          <w:rFonts w:ascii="Times New Roman" w:hAnsi="Times New Roman"/>
          <w:sz w:val="24"/>
          <w:szCs w:val="18"/>
        </w:rPr>
        <w:t>a corset manufacturer where the technical</w:t>
      </w:r>
      <w:r>
        <w:rPr>
          <w:rFonts w:ascii="Times New Roman" w:hAnsi="Times New Roman"/>
          <w:sz w:val="24"/>
          <w:szCs w:val="18"/>
        </w:rPr>
        <w:t xml:space="preserve"> </w:t>
      </w:r>
      <w:r w:rsidRPr="00A56A00">
        <w:rPr>
          <w:rFonts w:ascii="Times New Roman" w:hAnsi="Times New Roman"/>
          <w:sz w:val="24"/>
          <w:szCs w:val="18"/>
        </w:rPr>
        <w:t>organization of work was poor and machine operators had to fetch their own work. ‘After the</w:t>
      </w:r>
      <w:r>
        <w:rPr>
          <w:rFonts w:ascii="Times New Roman" w:hAnsi="Times New Roman"/>
          <w:sz w:val="24"/>
          <w:szCs w:val="18"/>
        </w:rPr>
        <w:t xml:space="preserve"> </w:t>
      </w:r>
      <w:r w:rsidRPr="00A56A00">
        <w:rPr>
          <w:rFonts w:ascii="Times New Roman" w:hAnsi="Times New Roman"/>
          <w:sz w:val="24"/>
          <w:szCs w:val="18"/>
        </w:rPr>
        <w:t>[wages] inspector pointed out these deficiencies</w:t>
      </w:r>
      <w:r>
        <w:rPr>
          <w:rFonts w:ascii="Times New Roman" w:hAnsi="Times New Roman"/>
          <w:sz w:val="24"/>
          <w:szCs w:val="18"/>
        </w:rPr>
        <w:t xml:space="preserve"> </w:t>
      </w:r>
      <w:r w:rsidRPr="00A56A00">
        <w:rPr>
          <w:rFonts w:ascii="Times New Roman" w:hAnsi="Times New Roman"/>
          <w:sz w:val="24"/>
          <w:szCs w:val="18"/>
        </w:rPr>
        <w:t>they were corrected, with the</w:t>
      </w:r>
      <w:r>
        <w:rPr>
          <w:rFonts w:ascii="Times New Roman" w:hAnsi="Times New Roman"/>
          <w:sz w:val="24"/>
          <w:szCs w:val="18"/>
        </w:rPr>
        <w:t xml:space="preserve"> </w:t>
      </w:r>
      <w:r w:rsidRPr="00A56A00">
        <w:rPr>
          <w:rFonts w:ascii="Times New Roman" w:hAnsi="Times New Roman"/>
          <w:sz w:val="24"/>
          <w:szCs w:val="18"/>
        </w:rPr>
        <w:t>result that output was considerably increased’. A more general effect was the</w:t>
      </w:r>
      <w:r>
        <w:rPr>
          <w:rFonts w:ascii="Times New Roman" w:hAnsi="Times New Roman"/>
          <w:sz w:val="24"/>
          <w:szCs w:val="18"/>
        </w:rPr>
        <w:t xml:space="preserve"> </w:t>
      </w:r>
      <w:r w:rsidRPr="00A56A00">
        <w:rPr>
          <w:rFonts w:ascii="Times New Roman" w:hAnsi="Times New Roman"/>
          <w:sz w:val="24"/>
          <w:szCs w:val="18"/>
        </w:rPr>
        <w:t>rationalization of formerly chaotic wage systems and the ‘dissemination of trade knowledge’</w:t>
      </w:r>
      <w:r>
        <w:rPr>
          <w:rFonts w:ascii="Times New Roman" w:hAnsi="Times New Roman"/>
          <w:sz w:val="24"/>
          <w:szCs w:val="18"/>
        </w:rPr>
        <w:t xml:space="preserve"> </w:t>
      </w:r>
      <w:r w:rsidRPr="00A56A00">
        <w:rPr>
          <w:rFonts w:ascii="Times New Roman" w:hAnsi="Times New Roman"/>
          <w:sz w:val="24"/>
          <w:szCs w:val="18"/>
        </w:rPr>
        <w:t>through meetings of the boards</w:t>
      </w:r>
      <w:r>
        <w:rPr>
          <w:rFonts w:ascii="Times New Roman" w:hAnsi="Times New Roman"/>
          <w:sz w:val="24"/>
          <w:szCs w:val="18"/>
        </w:rPr>
        <w:t xml:space="preserve"> (Edwards et al., 2002)</w:t>
      </w:r>
      <w:r w:rsidRPr="00A56A00">
        <w:rPr>
          <w:rFonts w:ascii="Times New Roman" w:hAnsi="Times New Roman"/>
          <w:sz w:val="24"/>
          <w:szCs w:val="18"/>
        </w:rPr>
        <w:t>.</w:t>
      </w:r>
      <w:r>
        <w:rPr>
          <w:rFonts w:ascii="Times New Roman" w:hAnsi="Times New Roman"/>
          <w:sz w:val="24"/>
          <w:szCs w:val="18"/>
        </w:rPr>
        <w:t xml:space="preserve"> There is similar, albeit anecdotal, evidence in relation to the National Minimum Wage, with various external agencies being able to encourage firms to improve production and payment systems. The problem, however, is that the effects are very patchy.</w:t>
      </w:r>
    </w:p>
    <w:p w:rsidR="00EF6029" w:rsidRDefault="00EF6029" w:rsidP="009A2DA3">
      <w:pPr>
        <w:spacing w:before="120" w:after="0" w:line="360" w:lineRule="auto"/>
        <w:rPr>
          <w:rFonts w:ascii="Times New Roman" w:hAnsi="Times New Roman"/>
          <w:sz w:val="24"/>
          <w:szCs w:val="24"/>
        </w:rPr>
      </w:pPr>
      <w:r>
        <w:rPr>
          <w:rFonts w:ascii="Times New Roman" w:hAnsi="Times New Roman"/>
          <w:sz w:val="24"/>
          <w:szCs w:val="24"/>
        </w:rPr>
        <w:t>Improving the efficiency of firms can also mean that there is the space to raise wages and also the quality of jobs. Managers, for their part, also have shared interests with workers. For example, a discipline procedure that is capricious may suit individual managers, but it is not in the interests of management in general, for it will generate immediate costs in grievances and so on, as well as longer term costs through reduced commitment from workers.</w:t>
      </w:r>
    </w:p>
    <w:p w:rsidR="00EF6029" w:rsidRDefault="00EF6029" w:rsidP="009A2DA3">
      <w:pPr>
        <w:spacing w:before="120" w:after="0" w:line="360" w:lineRule="auto"/>
        <w:rPr>
          <w:rFonts w:ascii="Times New Roman" w:hAnsi="Times New Roman"/>
          <w:sz w:val="24"/>
          <w:szCs w:val="24"/>
        </w:rPr>
      </w:pPr>
      <w:r>
        <w:rPr>
          <w:rFonts w:ascii="Times New Roman" w:hAnsi="Times New Roman"/>
          <w:sz w:val="24"/>
          <w:szCs w:val="24"/>
        </w:rPr>
        <w:t xml:space="preserve">There is, then, a terrain on which unions can demonstrate their value to managers. This does not mean giving up their independence. Independence means two things: being able to dispute the principle of some change; and negotiating the detailed process if its implementation if it is accepted in principle. I have studied aluminium smelters, in the UK and Canada, where unions believed that these two conditions were met, and were thus willing to work with the introduction of team work systems. In doing so, they were able to shape how the systems operated, sometimes indeed over the hostility of some line managers, while retaining a very clear divide between managerial and trade union functions (Bélanger et al., 2003). </w:t>
      </w:r>
    </w:p>
    <w:p w:rsidR="00EF6029" w:rsidRDefault="00EF6029" w:rsidP="009A2DA3">
      <w:pPr>
        <w:spacing w:before="120" w:after="0" w:line="360" w:lineRule="auto"/>
        <w:rPr>
          <w:rFonts w:ascii="Times New Roman" w:hAnsi="Times New Roman"/>
          <w:sz w:val="24"/>
          <w:szCs w:val="24"/>
        </w:rPr>
      </w:pPr>
      <w:r>
        <w:rPr>
          <w:rFonts w:ascii="Times New Roman" w:hAnsi="Times New Roman"/>
          <w:sz w:val="24"/>
          <w:szCs w:val="24"/>
        </w:rPr>
        <w:t>The value of unions to firms can be summarized in two categories. The first is helping to make managerial systems work, or in other words protecting managers from themselves. In the field of dismissal for example, it continues to be the case, over 40 years after the introduction of laws on unfair dismissal, that in around a third of cases that end up at Employment Tribunals managers have not followed their own procedures (Edwards, 2005). This category in fact breaks into two sub-categories. The first is, as here, to help managers to do what they clearly want to do, that is, operate proper procedures. The second is to address what may be more implicit, that is, what managers should do even if they do not know it. For example, a performance appraisal scheme needs scrutiny, and if managers have such schemes they should in principle welcome such scrutiny even though in practice they may not like to be questioned.</w:t>
      </w:r>
    </w:p>
    <w:p w:rsidR="00EF6029" w:rsidRDefault="00EF6029" w:rsidP="009A2DA3">
      <w:pPr>
        <w:spacing w:before="120" w:after="0" w:line="360" w:lineRule="auto"/>
        <w:rPr>
          <w:rFonts w:ascii="Times New Roman" w:hAnsi="Times New Roman"/>
          <w:sz w:val="24"/>
          <w:szCs w:val="24"/>
        </w:rPr>
      </w:pPr>
      <w:r>
        <w:rPr>
          <w:rFonts w:ascii="Times New Roman" w:hAnsi="Times New Roman"/>
          <w:sz w:val="24"/>
          <w:szCs w:val="24"/>
        </w:rPr>
        <w:t>The second category concerns longer-term development. A firm considering some new technology can well benefit by involving those affected by it in its design and operation.</w:t>
      </w:r>
    </w:p>
    <w:p w:rsidR="00EF6029" w:rsidRDefault="00EF6029" w:rsidP="009A2DA3">
      <w:pPr>
        <w:spacing w:before="120" w:after="0" w:line="360" w:lineRule="auto"/>
        <w:rPr>
          <w:rFonts w:ascii="Times New Roman" w:hAnsi="Times New Roman"/>
          <w:sz w:val="24"/>
          <w:szCs w:val="24"/>
        </w:rPr>
      </w:pPr>
      <w:r>
        <w:rPr>
          <w:rFonts w:ascii="Times New Roman" w:hAnsi="Times New Roman"/>
          <w:sz w:val="24"/>
          <w:szCs w:val="24"/>
        </w:rPr>
        <w:t>A major challenge lies in the context. The example of team work given above was effective because of several factors. These included, on the union side, the fact that the unions were well-embedded and had the tradition and confidence to engage with management. On the management side, there was no question of managing without unions or of using things like team work to undermine union loyalties. In this context, each side respected the other. In other contexts, managements need unions for other reasons. Classic instances are the willingness to engage with ‘moderate’ unions for fear of some more revolutionary challenge. In other cases, by contrast, managements can and do see unions as an obstacle. For example, in the past innovations such as total quality management were introduced as part of an attempt to weaken or remove unions.</w:t>
      </w:r>
    </w:p>
    <w:p w:rsidR="00EF6029" w:rsidRDefault="00EF6029" w:rsidP="009A2DA3">
      <w:pPr>
        <w:spacing w:before="120" w:after="0" w:line="360" w:lineRule="auto"/>
        <w:rPr>
          <w:rFonts w:ascii="Times New Roman" w:hAnsi="Times New Roman"/>
          <w:sz w:val="24"/>
          <w:szCs w:val="24"/>
        </w:rPr>
      </w:pPr>
      <w:r>
        <w:rPr>
          <w:rFonts w:ascii="Times New Roman" w:hAnsi="Times New Roman"/>
          <w:sz w:val="24"/>
          <w:szCs w:val="24"/>
        </w:rPr>
        <w:t>The German scholar Wolfgang Streeck (1992) speaks of beneficial constraints that are needed to allow the positive effects of unions on productivity to operate. By this, he means that firms’ freedom of action is constrained so that low-cost and command-and-control systems of labour management are ruled out or at least made costly. The classic example is the freedom to hire and fire. If this freedom is constrained, managers are more likely to see workers as a resource and to consider ways of using the resource constructively. Such constraints have not been a feature of the UK system, and opportunities to use the idea have not been taken. The Information and Consultation Regulations, for example, could have laid down what meaningful consultation meant, and given examples of its benefits. This could have made UK consultation more of an active and engaged process, as exists in other parts of Europe. The leading study here by Mark Hall and John Purcell characterizes the approach of the Blair governments as ‘half-hearted’ (2012).</w:t>
      </w:r>
    </w:p>
    <w:p w:rsidR="00EF6029" w:rsidRDefault="00EF6029" w:rsidP="009A2DA3">
      <w:pPr>
        <w:spacing w:before="120" w:after="0" w:line="360" w:lineRule="auto"/>
        <w:rPr>
          <w:rFonts w:ascii="Times New Roman" w:hAnsi="Times New Roman"/>
          <w:sz w:val="24"/>
          <w:szCs w:val="24"/>
        </w:rPr>
      </w:pPr>
      <w:r>
        <w:rPr>
          <w:rFonts w:ascii="Times New Roman" w:hAnsi="Times New Roman"/>
          <w:sz w:val="24"/>
          <w:szCs w:val="24"/>
        </w:rPr>
        <w:t>There are two lines to pursue.</w:t>
      </w:r>
    </w:p>
    <w:p w:rsidR="00EF6029" w:rsidRDefault="00EF6029" w:rsidP="009A2DA3">
      <w:pPr>
        <w:spacing w:before="120" w:after="0" w:line="360" w:lineRule="auto"/>
        <w:rPr>
          <w:rFonts w:ascii="Times New Roman" w:hAnsi="Times New Roman"/>
          <w:sz w:val="24"/>
          <w:szCs w:val="24"/>
        </w:rPr>
      </w:pPr>
      <w:r>
        <w:rPr>
          <w:rFonts w:ascii="Times New Roman" w:hAnsi="Times New Roman"/>
          <w:sz w:val="24"/>
          <w:szCs w:val="24"/>
        </w:rPr>
        <w:t xml:space="preserve">The first line is the show the usefulness of unions in terms of making existing systems work better and more generally improving the kinds of system in place. I have mentioned above such established areas of industrial relations as discipline arrangements and payment systems. But there are many others that extend the scope of ‘industrial relations’. Chris Wright and William Brown (2013) have pointed to the regulation of the supply chain. As they point out, firms have interests in controlling their suppliers and avoiding the damage to their brand image if suppliers are found to be exploiting their workers. Unions can exploit this vulnerability to gain leverage, and then use the leverage to develop regulations that control substantively the behaviour of suppliers. Two exemplary cases are discussed. My colleagues Geraint Harvey and Andy Hodder have begun to argue more generally that unions can play a key role in the fair trade agenda. Many firms now use independent external audits of their practices is this area, and unions can offer a distinct contribution because they combine ‘insider’ knowledge of the firm with ‘outsider’ independence. </w:t>
      </w:r>
    </w:p>
    <w:p w:rsidR="00EF6029" w:rsidRDefault="00EF6029" w:rsidP="009A2DA3">
      <w:pPr>
        <w:spacing w:before="120" w:after="0" w:line="360" w:lineRule="auto"/>
        <w:rPr>
          <w:rFonts w:ascii="Times New Roman" w:hAnsi="Times New Roman"/>
          <w:sz w:val="24"/>
          <w:szCs w:val="24"/>
        </w:rPr>
      </w:pPr>
      <w:r>
        <w:rPr>
          <w:rFonts w:ascii="Times New Roman" w:hAnsi="Times New Roman"/>
          <w:sz w:val="24"/>
          <w:szCs w:val="24"/>
        </w:rPr>
        <w:t>The second line joins up these specific roles. The problem is that such roles are isolated from each other and that there are few mechanisms to learn from, and generalize, their contribution. The idea of sector forums, which achieved some prominence during the mid-200s but which never took off, represents one route. Its key point is that there is a shared context, so that examples of, say, team work in one firm have traction in other firms. A connected idea, which I have been pressing for some time, relates to small and medium-sized firms – which account for 59 per cent of private sector employment in the UK but which are largely a trade union desert. Some of these firms have begun to develop local industry associations, which are primarily directed at sharing trade knowledge and the like, and which also sometimes have a role in promoting businesses from the ethnic minority community. There is no reason why such associations cannot also address employment standards, for example by having their members declare that they observe the NMW and the Working Time Regulations, with this declaration being a way of guaranteeing quality to customers. Unions can assist in the promotion of such practices.</w:t>
      </w:r>
    </w:p>
    <w:p w:rsidR="00EF6029" w:rsidRDefault="00EF6029" w:rsidP="009A2DA3">
      <w:pPr>
        <w:spacing w:before="120" w:after="0" w:line="360" w:lineRule="auto"/>
        <w:rPr>
          <w:rFonts w:ascii="Times New Roman" w:hAnsi="Times New Roman"/>
          <w:sz w:val="24"/>
          <w:szCs w:val="24"/>
        </w:rPr>
      </w:pPr>
      <w:r>
        <w:rPr>
          <w:rFonts w:ascii="Times New Roman" w:hAnsi="Times New Roman"/>
          <w:sz w:val="24"/>
          <w:szCs w:val="24"/>
        </w:rPr>
        <w:t>The other element of joining up concerns the role of the state in generating beneficial constraints. One approach is to use state agencies to promote good practice. As I have again argued in the past, it would be possible to require firms taking state aid under various development schemes to be subject to visits from ACAS to work on employment practices. More generally, independent inspection can act to ‘shock’ firms into better practices. A wider approach is to use the mass of legislation now covering union recognition and information and consultation. It is true that past governments have taken a minimalist approach here, but that is not fixed for all time. My argument has been that action at the level of the firm and through the supply chain can generate concrete evidence of a business case for unions. Such evidence can then underpin legislative and other action.</w:t>
      </w:r>
    </w:p>
    <w:p w:rsidR="00EF6029" w:rsidRDefault="00EF6029" w:rsidP="009A2DA3">
      <w:pPr>
        <w:spacing w:before="120" w:after="0" w:line="360" w:lineRule="auto"/>
        <w:rPr>
          <w:rFonts w:ascii="Times New Roman" w:hAnsi="Times New Roman"/>
          <w:sz w:val="24"/>
          <w:szCs w:val="24"/>
        </w:rPr>
      </w:pPr>
      <w:r>
        <w:rPr>
          <w:rFonts w:ascii="Times New Roman" w:hAnsi="Times New Roman"/>
          <w:sz w:val="24"/>
          <w:szCs w:val="24"/>
        </w:rPr>
        <w:t>It is obvious that the challenges here are huge, and that a more favourable political environment would be needed for serious progress to be made. But there is at least a clear agenda that can be pursued, underpinned by a vision of what unions can do in terms of productive improvement in the organization of firms.</w:t>
      </w:r>
    </w:p>
    <w:p w:rsidR="00EF6029" w:rsidRDefault="00EF6029">
      <w:pPr>
        <w:rPr>
          <w:rFonts w:ascii="Times New Roman" w:hAnsi="Times New Roman"/>
          <w:sz w:val="24"/>
          <w:szCs w:val="24"/>
        </w:rPr>
      </w:pPr>
      <w:r>
        <w:rPr>
          <w:rFonts w:ascii="Times New Roman" w:hAnsi="Times New Roman"/>
          <w:sz w:val="24"/>
          <w:szCs w:val="24"/>
        </w:rPr>
        <w:br w:type="page"/>
      </w:r>
    </w:p>
    <w:p w:rsidR="00EF6029" w:rsidRDefault="00EF6029" w:rsidP="001723BF">
      <w:pPr>
        <w:spacing w:before="120" w:after="0" w:line="240" w:lineRule="auto"/>
        <w:rPr>
          <w:rFonts w:ascii="Times New Roman" w:hAnsi="Times New Roman"/>
          <w:sz w:val="24"/>
          <w:szCs w:val="24"/>
        </w:rPr>
      </w:pPr>
    </w:p>
    <w:p w:rsidR="00EF6029" w:rsidRPr="002B734F" w:rsidRDefault="00EF6029" w:rsidP="001723BF">
      <w:pPr>
        <w:spacing w:before="120" w:after="0" w:line="240" w:lineRule="auto"/>
        <w:rPr>
          <w:rFonts w:ascii="Times New Roman" w:hAnsi="Times New Roman"/>
          <w:b/>
          <w:sz w:val="24"/>
          <w:szCs w:val="24"/>
        </w:rPr>
      </w:pPr>
      <w:r>
        <w:rPr>
          <w:rFonts w:ascii="Times New Roman" w:hAnsi="Times New Roman"/>
          <w:b/>
          <w:sz w:val="24"/>
          <w:szCs w:val="24"/>
        </w:rPr>
        <w:t>References</w:t>
      </w:r>
    </w:p>
    <w:p w:rsidR="00EF6029" w:rsidRDefault="00EF6029" w:rsidP="009A2DA3">
      <w:pPr>
        <w:pStyle w:val="BodyText"/>
        <w:rPr>
          <w:szCs w:val="22"/>
          <w:lang w:val="en-US"/>
        </w:rPr>
      </w:pPr>
    </w:p>
    <w:p w:rsidR="00EF6029" w:rsidRPr="009A2DA3" w:rsidRDefault="00EF6029" w:rsidP="009A2DA3">
      <w:pPr>
        <w:pStyle w:val="BodyText"/>
        <w:rPr>
          <w:b/>
          <w:szCs w:val="22"/>
          <w:lang w:val="en-US"/>
        </w:rPr>
      </w:pPr>
      <w:bookmarkStart w:id="0" w:name="_GoBack"/>
      <w:bookmarkEnd w:id="0"/>
      <w:r w:rsidRPr="009A2DA3">
        <w:rPr>
          <w:szCs w:val="22"/>
          <w:lang w:val="en-US"/>
        </w:rPr>
        <w:t xml:space="preserve">Bélanger, J., </w:t>
      </w:r>
      <w:r w:rsidRPr="009A2DA3">
        <w:rPr>
          <w:szCs w:val="22"/>
        </w:rPr>
        <w:t xml:space="preserve">P. Edwards </w:t>
      </w:r>
      <w:r w:rsidRPr="009A2DA3">
        <w:rPr>
          <w:szCs w:val="22"/>
          <w:lang w:val="en-US"/>
        </w:rPr>
        <w:t xml:space="preserve">and M. Wright. 2003. ‘Commitment at work and independence from management: A study of advanced teamwork’, </w:t>
      </w:r>
      <w:r w:rsidRPr="009A2DA3">
        <w:rPr>
          <w:i/>
          <w:szCs w:val="22"/>
          <w:lang w:val="en-US"/>
        </w:rPr>
        <w:t xml:space="preserve">Work and Occupations, </w:t>
      </w:r>
      <w:r w:rsidRPr="009A2DA3">
        <w:rPr>
          <w:szCs w:val="22"/>
          <w:lang w:val="en-US"/>
        </w:rPr>
        <w:t>30: 234-52.</w:t>
      </w:r>
    </w:p>
    <w:p w:rsidR="00EF6029" w:rsidRDefault="00EF6029" w:rsidP="009A2DA3">
      <w:pPr>
        <w:spacing w:before="120" w:line="240" w:lineRule="auto"/>
        <w:rPr>
          <w:rFonts w:ascii="Times New Roman" w:hAnsi="Times New Roman"/>
          <w:lang w:val="en-US"/>
        </w:rPr>
      </w:pPr>
      <w:r>
        <w:rPr>
          <w:rFonts w:ascii="Times New Roman" w:hAnsi="Times New Roman"/>
          <w:lang w:val="en-US"/>
        </w:rPr>
        <w:t xml:space="preserve">Brown, W., A. Bryson, J. Forth and K. Whitfield. Eds. 2009. </w:t>
      </w:r>
      <w:r>
        <w:rPr>
          <w:rFonts w:ascii="Times New Roman" w:hAnsi="Times New Roman"/>
          <w:i/>
          <w:lang w:val="en-US"/>
        </w:rPr>
        <w:t>The Evolution of the Modern Workplace</w:t>
      </w:r>
      <w:r>
        <w:rPr>
          <w:rFonts w:ascii="Times New Roman" w:hAnsi="Times New Roman"/>
          <w:lang w:val="en-US"/>
        </w:rPr>
        <w:t>. Cambridge: CUP.</w:t>
      </w:r>
    </w:p>
    <w:p w:rsidR="00EF6029" w:rsidRDefault="00EF6029" w:rsidP="009A2DA3">
      <w:pPr>
        <w:spacing w:before="120" w:line="240" w:lineRule="auto"/>
        <w:rPr>
          <w:rFonts w:ascii="Times New Roman" w:hAnsi="Times New Roman"/>
          <w:lang w:val="en-US"/>
        </w:rPr>
      </w:pPr>
      <w:r>
        <w:rPr>
          <w:rFonts w:ascii="Times New Roman" w:hAnsi="Times New Roman"/>
          <w:lang w:val="en-US"/>
        </w:rPr>
        <w:t>Colling, T. 2012. ‘Trade union roles in making employment rights effective’, in Dickens, 2012a.</w:t>
      </w:r>
    </w:p>
    <w:p w:rsidR="00EF6029" w:rsidRDefault="00EF6029" w:rsidP="009A2DA3">
      <w:pPr>
        <w:spacing w:before="120" w:line="240" w:lineRule="auto"/>
        <w:rPr>
          <w:rFonts w:ascii="Times New Roman" w:hAnsi="Times New Roman"/>
          <w:lang w:val="en-US"/>
        </w:rPr>
      </w:pPr>
      <w:r>
        <w:rPr>
          <w:rFonts w:ascii="Times New Roman" w:hAnsi="Times New Roman"/>
          <w:lang w:val="en-US"/>
        </w:rPr>
        <w:t xml:space="preserve">Dickens, L. Ed. 2012a. </w:t>
      </w:r>
      <w:r>
        <w:rPr>
          <w:rFonts w:ascii="Times New Roman" w:hAnsi="Times New Roman"/>
          <w:i/>
          <w:lang w:val="en-US"/>
        </w:rPr>
        <w:t>Making Employment Rights Effective</w:t>
      </w:r>
      <w:r>
        <w:rPr>
          <w:rFonts w:ascii="Times New Roman" w:hAnsi="Times New Roman"/>
          <w:lang w:val="en-US"/>
        </w:rPr>
        <w:t xml:space="preserve">. Oxford: Hart. </w:t>
      </w:r>
    </w:p>
    <w:p w:rsidR="00EF6029" w:rsidRPr="007A5EEB" w:rsidRDefault="00EF6029" w:rsidP="009A2DA3">
      <w:pPr>
        <w:spacing w:before="120" w:line="240" w:lineRule="auto"/>
        <w:rPr>
          <w:rFonts w:ascii="Times New Roman" w:hAnsi="Times New Roman"/>
          <w:lang w:val="en-US"/>
        </w:rPr>
      </w:pPr>
      <w:r>
        <w:rPr>
          <w:rFonts w:ascii="Times New Roman" w:hAnsi="Times New Roman"/>
          <w:lang w:val="en-US"/>
        </w:rPr>
        <w:t>Dickens, L. 2012b. ‘Fairer workplaces’, in Dickens, 2012a.</w:t>
      </w:r>
    </w:p>
    <w:p w:rsidR="00EF6029" w:rsidRPr="00F7723A" w:rsidRDefault="00EF6029" w:rsidP="009A2DA3">
      <w:pPr>
        <w:spacing w:before="120" w:line="240" w:lineRule="auto"/>
        <w:rPr>
          <w:rFonts w:ascii="Times New Roman" w:hAnsi="Times New Roman"/>
          <w:lang w:val="en-US"/>
        </w:rPr>
      </w:pPr>
      <w:r>
        <w:rPr>
          <w:rFonts w:ascii="Times New Roman" w:hAnsi="Times New Roman"/>
          <w:lang w:val="en-US"/>
        </w:rPr>
        <w:t xml:space="preserve">Edwards, P. 2005. ‘Discipline and attendance’, in S. Bach, ed., </w:t>
      </w:r>
      <w:r>
        <w:rPr>
          <w:rFonts w:ascii="Times New Roman" w:hAnsi="Times New Roman"/>
          <w:i/>
          <w:lang w:val="en-US"/>
        </w:rPr>
        <w:t>Managing Human Resources</w:t>
      </w:r>
      <w:r>
        <w:rPr>
          <w:rFonts w:ascii="Times New Roman" w:hAnsi="Times New Roman"/>
          <w:lang w:val="en-US"/>
        </w:rPr>
        <w:t>, 4</w:t>
      </w:r>
      <w:r w:rsidRPr="00F7723A">
        <w:rPr>
          <w:rFonts w:ascii="Times New Roman" w:hAnsi="Times New Roman"/>
          <w:vertAlign w:val="superscript"/>
          <w:lang w:val="en-US"/>
        </w:rPr>
        <w:t>th</w:t>
      </w:r>
      <w:r>
        <w:rPr>
          <w:rFonts w:ascii="Times New Roman" w:hAnsi="Times New Roman"/>
          <w:lang w:val="en-US"/>
        </w:rPr>
        <w:t xml:space="preserve"> edn. Oxford: Blackwell.</w:t>
      </w:r>
    </w:p>
    <w:p w:rsidR="00EF6029" w:rsidRPr="009A2DA3" w:rsidRDefault="00EF6029" w:rsidP="009A2DA3">
      <w:pPr>
        <w:spacing w:before="120" w:line="240" w:lineRule="auto"/>
        <w:rPr>
          <w:rFonts w:ascii="Times New Roman" w:hAnsi="Times New Roman"/>
          <w:lang w:val="en-US"/>
        </w:rPr>
      </w:pPr>
      <w:r w:rsidRPr="009A2DA3">
        <w:rPr>
          <w:rFonts w:ascii="Times New Roman" w:hAnsi="Times New Roman"/>
          <w:lang w:val="en-US"/>
        </w:rPr>
        <w:t xml:space="preserve">Edwards, P., J. Bélanger and M. Wright. 2006 ‘The bases of compromise in the workplace’, </w:t>
      </w:r>
      <w:r w:rsidRPr="009A2DA3">
        <w:rPr>
          <w:rFonts w:ascii="Times New Roman" w:hAnsi="Times New Roman"/>
          <w:i/>
          <w:lang w:val="en-US"/>
        </w:rPr>
        <w:t>British Journal of Industrial Relations</w:t>
      </w:r>
      <w:r w:rsidRPr="009A2DA3">
        <w:rPr>
          <w:rFonts w:ascii="Times New Roman" w:hAnsi="Times New Roman"/>
          <w:iCs/>
          <w:lang w:val="en-US"/>
        </w:rPr>
        <w:t>, 44: 125-46</w:t>
      </w:r>
      <w:r w:rsidRPr="009A2DA3">
        <w:rPr>
          <w:rFonts w:ascii="Times New Roman" w:hAnsi="Times New Roman"/>
          <w:lang w:val="en-US"/>
        </w:rPr>
        <w:t>.</w:t>
      </w:r>
    </w:p>
    <w:p w:rsidR="00EF6029" w:rsidRPr="009A2DA3" w:rsidRDefault="00EF6029" w:rsidP="009A2DA3">
      <w:pPr>
        <w:spacing w:before="120" w:after="0" w:line="240" w:lineRule="auto"/>
        <w:rPr>
          <w:rFonts w:ascii="Times New Roman" w:hAnsi="Times New Roman"/>
        </w:rPr>
      </w:pPr>
      <w:r w:rsidRPr="009A2DA3">
        <w:rPr>
          <w:rFonts w:ascii="Times New Roman" w:hAnsi="Times New Roman"/>
        </w:rPr>
        <w:t>Edwards, P.,</w:t>
      </w:r>
      <w:r>
        <w:rPr>
          <w:rFonts w:ascii="Times New Roman" w:hAnsi="Times New Roman"/>
        </w:rPr>
        <w:t xml:space="preserve"> </w:t>
      </w:r>
      <w:r w:rsidRPr="009A2DA3">
        <w:rPr>
          <w:rFonts w:ascii="Times New Roman" w:hAnsi="Times New Roman"/>
        </w:rPr>
        <w:t xml:space="preserve">M. Gilman, M. Ram and J. Arrowsmith. 2002. ‘Public policy, the performance of firms and the “missing middle”: the case of the employment regulations, and a role for local business networks’, </w:t>
      </w:r>
      <w:r w:rsidRPr="009A2DA3">
        <w:rPr>
          <w:rFonts w:ascii="Times New Roman" w:hAnsi="Times New Roman"/>
          <w:i/>
        </w:rPr>
        <w:t>Policy Studies</w:t>
      </w:r>
      <w:r w:rsidRPr="009A2DA3">
        <w:rPr>
          <w:rFonts w:ascii="Times New Roman" w:hAnsi="Times New Roman"/>
        </w:rPr>
        <w:t>, 23: 5-20.</w:t>
      </w:r>
    </w:p>
    <w:p w:rsidR="00EF6029" w:rsidRPr="009A2DA3" w:rsidRDefault="00EF6029" w:rsidP="009A2DA3">
      <w:pPr>
        <w:spacing w:before="120" w:after="0" w:line="240" w:lineRule="auto"/>
        <w:rPr>
          <w:rFonts w:ascii="Times New Roman" w:hAnsi="Times New Roman"/>
        </w:rPr>
      </w:pPr>
      <w:r w:rsidRPr="009A2DA3">
        <w:rPr>
          <w:rFonts w:ascii="Times New Roman" w:hAnsi="Times New Roman"/>
        </w:rPr>
        <w:t xml:space="preserve">Geary, J. F., and T. Dobbins. 2001. ‘Teamworking’, </w:t>
      </w:r>
      <w:r w:rsidRPr="009A2DA3">
        <w:rPr>
          <w:rFonts w:ascii="Times New Roman" w:hAnsi="Times New Roman"/>
          <w:i/>
        </w:rPr>
        <w:t>Human Resource Management Journal</w:t>
      </w:r>
      <w:r w:rsidRPr="009A2DA3">
        <w:rPr>
          <w:rFonts w:ascii="Times New Roman" w:hAnsi="Times New Roman"/>
        </w:rPr>
        <w:t>, 11: 3-21.</w:t>
      </w:r>
    </w:p>
    <w:p w:rsidR="00EF6029" w:rsidRPr="009A2DA3" w:rsidRDefault="00EF6029" w:rsidP="009A2DA3">
      <w:pPr>
        <w:spacing w:before="120" w:after="0" w:line="240" w:lineRule="auto"/>
        <w:rPr>
          <w:rFonts w:ascii="Times New Roman" w:hAnsi="Times New Roman"/>
        </w:rPr>
      </w:pPr>
      <w:r w:rsidRPr="009A2DA3">
        <w:rPr>
          <w:rFonts w:ascii="Times New Roman" w:hAnsi="Times New Roman"/>
        </w:rPr>
        <w:t xml:space="preserve">Hall, M., and J. Purcell. 2012. </w:t>
      </w:r>
      <w:r w:rsidRPr="009A2DA3">
        <w:rPr>
          <w:rFonts w:ascii="Times New Roman" w:hAnsi="Times New Roman"/>
          <w:i/>
        </w:rPr>
        <w:t>Consultation at Work</w:t>
      </w:r>
      <w:r w:rsidRPr="009A2DA3">
        <w:rPr>
          <w:rFonts w:ascii="Times New Roman" w:hAnsi="Times New Roman"/>
        </w:rPr>
        <w:t xml:space="preserve">. Oxford: OUP. </w:t>
      </w:r>
    </w:p>
    <w:p w:rsidR="00EF6029" w:rsidRDefault="00EF6029" w:rsidP="009A2DA3">
      <w:pPr>
        <w:spacing w:before="120" w:after="0" w:line="240" w:lineRule="auto"/>
        <w:rPr>
          <w:rFonts w:ascii="Times New Roman" w:hAnsi="Times New Roman"/>
        </w:rPr>
      </w:pPr>
      <w:r w:rsidRPr="009A2DA3">
        <w:rPr>
          <w:rFonts w:ascii="Times New Roman" w:hAnsi="Times New Roman"/>
        </w:rPr>
        <w:t xml:space="preserve">Rubery, J. and D. Grimshaw. 2003. </w:t>
      </w:r>
      <w:r w:rsidRPr="009A2DA3">
        <w:rPr>
          <w:rFonts w:ascii="Times New Roman" w:hAnsi="Times New Roman"/>
          <w:i/>
        </w:rPr>
        <w:t>The Organization of Employment.</w:t>
      </w:r>
      <w:r w:rsidRPr="009A2DA3">
        <w:rPr>
          <w:rFonts w:ascii="Times New Roman" w:hAnsi="Times New Roman"/>
        </w:rPr>
        <w:t xml:space="preserve"> Basingstoke: Palgrave.</w:t>
      </w:r>
    </w:p>
    <w:p w:rsidR="00EF6029" w:rsidRPr="00F7723A" w:rsidRDefault="00EF6029" w:rsidP="009A2DA3">
      <w:pPr>
        <w:spacing w:before="120" w:after="0" w:line="240" w:lineRule="auto"/>
        <w:rPr>
          <w:rFonts w:ascii="Times New Roman" w:hAnsi="Times New Roman"/>
        </w:rPr>
      </w:pPr>
      <w:r>
        <w:rPr>
          <w:rFonts w:ascii="Times New Roman" w:hAnsi="Times New Roman"/>
        </w:rPr>
        <w:t xml:space="preserve">Streeck, W. 1992. ‘Productive constraints’, in W. Streeck, ed., </w:t>
      </w:r>
      <w:r>
        <w:rPr>
          <w:rFonts w:ascii="Times New Roman" w:hAnsi="Times New Roman"/>
          <w:i/>
        </w:rPr>
        <w:t>Social Institutions and Economic Performance</w:t>
      </w:r>
      <w:r>
        <w:rPr>
          <w:rFonts w:ascii="Times New Roman" w:hAnsi="Times New Roman"/>
        </w:rPr>
        <w:t>. London: Sage.</w:t>
      </w:r>
    </w:p>
    <w:p w:rsidR="00EF6029" w:rsidRDefault="00EF6029" w:rsidP="009A2DA3">
      <w:pPr>
        <w:spacing w:before="120" w:after="0" w:line="240" w:lineRule="auto"/>
        <w:rPr>
          <w:rFonts w:ascii="Times New Roman" w:hAnsi="Times New Roman"/>
        </w:rPr>
      </w:pPr>
      <w:r>
        <w:rPr>
          <w:rFonts w:ascii="Times New Roman" w:hAnsi="Times New Roman"/>
        </w:rPr>
        <w:t>Taylor, J. 2013. ‘The workplace in transition’, Warwick Papers in Industrial Relations, 97, May. University of Warwick, Industrial Relations Research Unit.</w:t>
      </w:r>
    </w:p>
    <w:p w:rsidR="00EF6029" w:rsidRDefault="00EF6029" w:rsidP="009A2DA3">
      <w:pPr>
        <w:spacing w:before="120" w:after="0" w:line="240" w:lineRule="auto"/>
        <w:rPr>
          <w:rFonts w:ascii="Times New Roman" w:hAnsi="Times New Roman"/>
        </w:rPr>
      </w:pPr>
      <w:r>
        <w:rPr>
          <w:rFonts w:ascii="Times New Roman" w:hAnsi="Times New Roman"/>
        </w:rPr>
        <w:t>Unions21. 2012. ‘Extending collective bargaining’, Unions21.</w:t>
      </w:r>
    </w:p>
    <w:p w:rsidR="00EF6029" w:rsidRDefault="00EF6029" w:rsidP="009A2DA3">
      <w:pPr>
        <w:spacing w:before="120" w:after="0" w:line="240" w:lineRule="auto"/>
        <w:rPr>
          <w:rFonts w:ascii="Times New Roman" w:hAnsi="Times New Roman"/>
        </w:rPr>
      </w:pPr>
      <w:r>
        <w:rPr>
          <w:rFonts w:ascii="Times New Roman" w:hAnsi="Times New Roman"/>
        </w:rPr>
        <w:t>Unions21. 2013. ‘Power, pay, progression and justice at work’, Fair Work Commission, Report 1. Unions21.</w:t>
      </w:r>
    </w:p>
    <w:p w:rsidR="00EF6029" w:rsidRPr="00F7723A" w:rsidRDefault="00EF6029" w:rsidP="009A2DA3">
      <w:pPr>
        <w:spacing w:before="120" w:after="0" w:line="240" w:lineRule="auto"/>
        <w:rPr>
          <w:rFonts w:ascii="Times New Roman" w:hAnsi="Times New Roman"/>
        </w:rPr>
      </w:pPr>
      <w:r>
        <w:rPr>
          <w:rFonts w:ascii="Times New Roman" w:hAnsi="Times New Roman"/>
        </w:rPr>
        <w:t xml:space="preserve">Van Wanrooy, B., H. Bewley, A. Bryson, J. Forth, S. Freeth, L Stokes and S. Wood. 2013. </w:t>
      </w:r>
      <w:r>
        <w:rPr>
          <w:rFonts w:ascii="Times New Roman" w:hAnsi="Times New Roman"/>
          <w:i/>
        </w:rPr>
        <w:t>The 2011 Workplace Employment Relations Study: First Findings</w:t>
      </w:r>
      <w:r>
        <w:rPr>
          <w:rFonts w:ascii="Times New Roman" w:hAnsi="Times New Roman"/>
        </w:rPr>
        <w:t>. London: BIS.</w:t>
      </w:r>
    </w:p>
    <w:p w:rsidR="00EF6029" w:rsidRPr="009A2DA3" w:rsidRDefault="00EF6029" w:rsidP="009A2DA3">
      <w:pPr>
        <w:spacing w:before="120" w:after="0" w:line="240" w:lineRule="auto"/>
        <w:rPr>
          <w:rFonts w:ascii="Times New Roman" w:hAnsi="Times New Roman"/>
        </w:rPr>
      </w:pPr>
      <w:r w:rsidRPr="009A2DA3">
        <w:rPr>
          <w:rFonts w:ascii="Times New Roman" w:hAnsi="Times New Roman"/>
        </w:rPr>
        <w:t xml:space="preserve">Wright, C. F., and W. Brown. 2013. ‘The effectiveness of socially sustainable sourcing mechanisms’, </w:t>
      </w:r>
      <w:r w:rsidRPr="009A2DA3">
        <w:rPr>
          <w:rFonts w:ascii="Times New Roman" w:hAnsi="Times New Roman"/>
          <w:i/>
        </w:rPr>
        <w:t>Industrial Relations Journal</w:t>
      </w:r>
      <w:r w:rsidRPr="009A2DA3">
        <w:rPr>
          <w:rFonts w:ascii="Times New Roman" w:hAnsi="Times New Roman"/>
        </w:rPr>
        <w:t>, 44: 20-37.</w:t>
      </w:r>
    </w:p>
    <w:p w:rsidR="00EF6029" w:rsidRPr="009A2DA3" w:rsidRDefault="00EF6029" w:rsidP="001723BF">
      <w:pPr>
        <w:spacing w:before="120" w:after="0" w:line="240" w:lineRule="auto"/>
        <w:rPr>
          <w:rFonts w:ascii="Times New Roman" w:hAnsi="Times New Roman"/>
        </w:rPr>
      </w:pPr>
    </w:p>
    <w:sectPr w:rsidR="00EF6029" w:rsidRPr="009A2DA3" w:rsidSect="00497BED">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029" w:rsidRDefault="00EF6029" w:rsidP="00CC3C1A">
      <w:pPr>
        <w:spacing w:after="0" w:line="240" w:lineRule="auto"/>
      </w:pPr>
      <w:r>
        <w:separator/>
      </w:r>
    </w:p>
  </w:endnote>
  <w:endnote w:type="continuationSeparator" w:id="0">
    <w:p w:rsidR="00EF6029" w:rsidRDefault="00EF6029" w:rsidP="00CC3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029" w:rsidRDefault="00EF6029">
    <w:pPr>
      <w:pStyle w:val="Footer"/>
      <w:jc w:val="center"/>
    </w:pPr>
    <w:fldSimple w:instr=" PAGE   \* MERGEFORMAT ">
      <w:r>
        <w:rPr>
          <w:noProof/>
        </w:rPr>
        <w:t>1</w:t>
      </w:r>
    </w:fldSimple>
  </w:p>
  <w:p w:rsidR="00EF6029" w:rsidRDefault="00EF60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029" w:rsidRDefault="00EF6029" w:rsidP="00CC3C1A">
      <w:pPr>
        <w:spacing w:after="0" w:line="240" w:lineRule="auto"/>
      </w:pPr>
      <w:r>
        <w:separator/>
      </w:r>
    </w:p>
  </w:footnote>
  <w:footnote w:type="continuationSeparator" w:id="0">
    <w:p w:rsidR="00EF6029" w:rsidRDefault="00EF6029" w:rsidP="00CC3C1A">
      <w:pPr>
        <w:spacing w:after="0" w:line="240" w:lineRule="auto"/>
      </w:pPr>
      <w:r>
        <w:continuationSeparator/>
      </w:r>
    </w:p>
  </w:footnote>
  <w:footnote w:id="1">
    <w:p w:rsidR="00EF6029" w:rsidRDefault="00EF6029">
      <w:pPr>
        <w:pStyle w:val="FootnoteText"/>
      </w:pPr>
      <w:r>
        <w:rPr>
          <w:rStyle w:val="FootnoteReference"/>
        </w:rPr>
        <w:footnoteRef/>
      </w:r>
      <w:r>
        <w:t xml:space="preserve"> E.g. BBC news report, 24/1/2013:</w:t>
      </w:r>
      <w:r w:rsidRPr="00BB46F7">
        <w:t>http://www.bbc.co.uk/news/business-21183987</w:t>
      </w:r>
      <w:r>
        <w:t xml:space="preserve">; and Stiglitz’s </w:t>
      </w:r>
      <w:r>
        <w:rPr>
          <w:i/>
        </w:rPr>
        <w:t xml:space="preserve">New York </w:t>
      </w:r>
      <w:r w:rsidRPr="00BB46F7">
        <w:t>Times</w:t>
      </w:r>
      <w:r>
        <w:t xml:space="preserve"> </w:t>
      </w:r>
      <w:r w:rsidRPr="00BB46F7">
        <w:t>essay</w:t>
      </w:r>
      <w:r>
        <w:t xml:space="preserve">, 19/1/2013: </w:t>
      </w:r>
      <w:r w:rsidRPr="00BB46F7">
        <w:t>http://opinionator.blogs.nytimes.com/2013/01/19/inequality-is-holding-back-the-recovery/?_r=0</w:t>
      </w:r>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6F95"/>
    <w:rsid w:val="00015590"/>
    <w:rsid w:val="00015E0A"/>
    <w:rsid w:val="00125533"/>
    <w:rsid w:val="00155172"/>
    <w:rsid w:val="001607C8"/>
    <w:rsid w:val="001723BF"/>
    <w:rsid w:val="002033E8"/>
    <w:rsid w:val="00213584"/>
    <w:rsid w:val="002B20D9"/>
    <w:rsid w:val="002B734F"/>
    <w:rsid w:val="002C0974"/>
    <w:rsid w:val="003339D2"/>
    <w:rsid w:val="003A0F83"/>
    <w:rsid w:val="003D598E"/>
    <w:rsid w:val="003D6EA7"/>
    <w:rsid w:val="00421874"/>
    <w:rsid w:val="004610E1"/>
    <w:rsid w:val="00497BED"/>
    <w:rsid w:val="004D212A"/>
    <w:rsid w:val="004E17A7"/>
    <w:rsid w:val="0050317E"/>
    <w:rsid w:val="005E7E41"/>
    <w:rsid w:val="005F76F8"/>
    <w:rsid w:val="00633804"/>
    <w:rsid w:val="00651A94"/>
    <w:rsid w:val="007057CD"/>
    <w:rsid w:val="007A5EEB"/>
    <w:rsid w:val="007C5892"/>
    <w:rsid w:val="00865283"/>
    <w:rsid w:val="009274CA"/>
    <w:rsid w:val="009A2DA3"/>
    <w:rsid w:val="00A12CFA"/>
    <w:rsid w:val="00A44398"/>
    <w:rsid w:val="00A46C00"/>
    <w:rsid w:val="00A56A00"/>
    <w:rsid w:val="00AC6854"/>
    <w:rsid w:val="00B3177F"/>
    <w:rsid w:val="00B65669"/>
    <w:rsid w:val="00B76F95"/>
    <w:rsid w:val="00BB1783"/>
    <w:rsid w:val="00BB46F7"/>
    <w:rsid w:val="00C35060"/>
    <w:rsid w:val="00CC2E9F"/>
    <w:rsid w:val="00CC3C1A"/>
    <w:rsid w:val="00DC31BD"/>
    <w:rsid w:val="00E87876"/>
    <w:rsid w:val="00ED4F89"/>
    <w:rsid w:val="00EF028F"/>
    <w:rsid w:val="00EF6029"/>
    <w:rsid w:val="00F47D64"/>
    <w:rsid w:val="00F7723A"/>
    <w:rsid w:val="00F856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BED"/>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C3C1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C3C1A"/>
    <w:rPr>
      <w:rFonts w:cs="Times New Roman"/>
    </w:rPr>
  </w:style>
  <w:style w:type="paragraph" w:styleId="Footer">
    <w:name w:val="footer"/>
    <w:basedOn w:val="Normal"/>
    <w:link w:val="FooterChar"/>
    <w:uiPriority w:val="99"/>
    <w:rsid w:val="00CC3C1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C3C1A"/>
    <w:rPr>
      <w:rFonts w:cs="Times New Roman"/>
    </w:rPr>
  </w:style>
  <w:style w:type="paragraph" w:styleId="BodyText">
    <w:name w:val="Body Text"/>
    <w:basedOn w:val="Normal"/>
    <w:link w:val="BodyTextChar"/>
    <w:uiPriority w:val="99"/>
    <w:rsid w:val="002B734F"/>
    <w:pPr>
      <w:spacing w:before="120" w:after="0" w:line="240" w:lineRule="auto"/>
    </w:pPr>
    <w:rPr>
      <w:rFonts w:ascii="Times New Roman" w:eastAsia="Times New Roman" w:hAnsi="Times New Roman"/>
      <w:szCs w:val="20"/>
    </w:rPr>
  </w:style>
  <w:style w:type="character" w:customStyle="1" w:styleId="BodyTextChar">
    <w:name w:val="Body Text Char"/>
    <w:basedOn w:val="DefaultParagraphFont"/>
    <w:link w:val="BodyText"/>
    <w:uiPriority w:val="99"/>
    <w:locked/>
    <w:rsid w:val="002B734F"/>
    <w:rPr>
      <w:rFonts w:ascii="Times New Roman" w:hAnsi="Times New Roman" w:cs="Times New Roman"/>
      <w:sz w:val="20"/>
      <w:szCs w:val="20"/>
    </w:rPr>
  </w:style>
  <w:style w:type="paragraph" w:styleId="FootnoteText">
    <w:name w:val="footnote text"/>
    <w:basedOn w:val="Normal"/>
    <w:link w:val="FootnoteTextChar"/>
    <w:uiPriority w:val="99"/>
    <w:semiHidden/>
    <w:rsid w:val="00BB46F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B46F7"/>
    <w:rPr>
      <w:rFonts w:cs="Times New Roman"/>
      <w:sz w:val="20"/>
      <w:szCs w:val="20"/>
    </w:rPr>
  </w:style>
  <w:style w:type="character" w:styleId="FootnoteReference">
    <w:name w:val="footnote reference"/>
    <w:basedOn w:val="DefaultParagraphFont"/>
    <w:uiPriority w:val="99"/>
    <w:semiHidden/>
    <w:rsid w:val="00BB46F7"/>
    <w:rPr>
      <w:rFonts w:cs="Times New Roman"/>
      <w:vertAlign w:val="superscript"/>
    </w:rPr>
  </w:style>
  <w:style w:type="paragraph" w:styleId="BalloonText">
    <w:name w:val="Balloon Text"/>
    <w:basedOn w:val="Normal"/>
    <w:link w:val="BalloonTextChar"/>
    <w:uiPriority w:val="99"/>
    <w:semiHidden/>
    <w:rsid w:val="00A12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2C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temp-bas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temp-basic</Template>
  <TotalTime>4</TotalTime>
  <Pages>12</Pages>
  <Words>2614</Words>
  <Characters>14901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Unions and the Fairness at Work Agenda:</dc:title>
  <dc:subject/>
  <dc:creator>Paul</dc:creator>
  <cp:keywords/>
  <dc:description/>
  <cp:lastModifiedBy>dwhittle</cp:lastModifiedBy>
  <cp:revision>2</cp:revision>
  <cp:lastPrinted>2013-06-27T11:15:00Z</cp:lastPrinted>
  <dcterms:created xsi:type="dcterms:W3CDTF">2013-09-02T16:10:00Z</dcterms:created>
  <dcterms:modified xsi:type="dcterms:W3CDTF">2013-09-02T16:10:00Z</dcterms:modified>
</cp:coreProperties>
</file>